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6881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505"/>
        <w:gridCol w:w="160"/>
        <w:gridCol w:w="755"/>
        <w:gridCol w:w="499"/>
        <w:gridCol w:w="825"/>
        <w:gridCol w:w="1284"/>
        <w:gridCol w:w="189"/>
        <w:gridCol w:w="160"/>
        <w:gridCol w:w="814"/>
        <w:gridCol w:w="160"/>
        <w:gridCol w:w="1530"/>
      </w:tblGrid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2744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60"/>
            </w:pPr>
            <w:r>
              <w:rPr>
                <w:b w:val="1"/>
                <w:bCs w:val="1"/>
                <w:rtl w:val="0"/>
              </w:rPr>
              <w:t>First name and surname</w:t>
            </w:r>
          </w:p>
        </w:tc>
        <w:tc>
          <w:tcPr>
            <w:tcW w:type="dxa" w:w="4137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Emilija Dubljanin Raspopovic</w:t>
            </w:r>
          </w:p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2744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60"/>
            </w:pPr>
            <w:r>
              <w:rPr>
                <w:b w:val="1"/>
                <w:bCs w:val="1"/>
                <w:rtl w:val="0"/>
              </w:rPr>
              <w:t>Title</w:t>
            </w:r>
          </w:p>
        </w:tc>
        <w:tc>
          <w:tcPr>
            <w:tcW w:type="dxa" w:w="4137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Associate Proffesor</w:t>
            </w:r>
          </w:p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2744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60"/>
            </w:pPr>
            <w:r>
              <w:rPr>
                <w:b w:val="1"/>
                <w:bCs w:val="1"/>
                <w:rtl w:val="0"/>
                <w:lang w:val="en-US"/>
              </w:rPr>
              <w:t>Specific scientific field</w:t>
            </w:r>
          </w:p>
        </w:tc>
        <w:tc>
          <w:tcPr>
            <w:tcW w:type="dxa" w:w="4137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Physical Medicine and Rehabilitation</w:t>
            </w:r>
          </w:p>
        </w:tc>
      </w:tr>
      <w:tr>
        <w:tblPrEx>
          <w:shd w:val="clear" w:color="auto" w:fill="ced7e7"/>
        </w:tblPrEx>
        <w:trPr>
          <w:trHeight w:val="442" w:hRule="atLeast"/>
        </w:trPr>
        <w:tc>
          <w:tcPr>
            <w:tcW w:type="dxa" w:w="1919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60"/>
            </w:pPr>
            <w:r>
              <w:rPr>
                <w:b w:val="1"/>
                <w:bCs w:val="1"/>
                <w:rtl w:val="0"/>
              </w:rPr>
              <w:t xml:space="preserve">Academic Career </w:t>
            </w:r>
          </w:p>
        </w:tc>
        <w:tc>
          <w:tcPr>
            <w:tcW w:type="dxa" w:w="8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60"/>
            </w:pPr>
            <w:r>
              <w:rPr>
                <w:rtl w:val="0"/>
              </w:rPr>
              <w:t xml:space="preserve">Year </w:t>
            </w:r>
          </w:p>
        </w:tc>
        <w:tc>
          <w:tcPr>
            <w:tcW w:type="dxa" w:w="12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60"/>
            </w:pPr>
            <w:r>
              <w:rPr>
                <w:rtl w:val="0"/>
              </w:rPr>
              <w:t xml:space="preserve">Institution </w:t>
            </w:r>
          </w:p>
        </w:tc>
        <w:tc>
          <w:tcPr>
            <w:tcW w:type="dxa" w:w="1323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60"/>
            </w:pPr>
            <w:r>
              <w:rPr>
                <w:rtl w:val="0"/>
              </w:rPr>
              <w:t xml:space="preserve">Scientific field </w:t>
            </w:r>
          </w:p>
        </w:tc>
        <w:tc>
          <w:tcPr>
            <w:tcW w:type="dxa" w:w="15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tl w:val="0"/>
                <w:lang w:val="en-US"/>
              </w:rPr>
              <w:t>Specific scientific field</w:t>
            </w:r>
          </w:p>
        </w:tc>
      </w:tr>
      <w:tr>
        <w:tblPrEx>
          <w:shd w:val="clear" w:color="auto" w:fill="ced7e7"/>
        </w:tblPrEx>
        <w:trPr>
          <w:trHeight w:val="882" w:hRule="atLeast"/>
        </w:trPr>
        <w:tc>
          <w:tcPr>
            <w:tcW w:type="dxa" w:w="1919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sz w:val="18"/>
                <w:szCs w:val="18"/>
                <w:rtl w:val="0"/>
                <w:lang w:val="en-US"/>
              </w:rPr>
              <w:t>Professorate</w:t>
            </w:r>
          </w:p>
        </w:tc>
        <w:tc>
          <w:tcPr>
            <w:tcW w:type="dxa" w:w="8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2018</w:t>
            </w:r>
          </w:p>
        </w:tc>
        <w:tc>
          <w:tcPr>
            <w:tcW w:type="dxa" w:w="12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Faculty of Medicine, University of Belgrade</w:t>
            </w:r>
          </w:p>
        </w:tc>
        <w:tc>
          <w:tcPr>
            <w:tcW w:type="dxa" w:w="1323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Physical Medicine and Rehabilitation</w:t>
            </w:r>
          </w:p>
        </w:tc>
        <w:tc>
          <w:tcPr>
            <w:tcW w:type="dxa" w:w="15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882" w:hRule="atLeast"/>
        </w:trPr>
        <w:tc>
          <w:tcPr>
            <w:tcW w:type="dxa" w:w="1919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sz w:val="18"/>
                <w:szCs w:val="18"/>
                <w:rtl w:val="0"/>
                <w:lang w:val="en-US"/>
              </w:rPr>
              <w:t>PhD</w:t>
            </w:r>
          </w:p>
        </w:tc>
        <w:tc>
          <w:tcPr>
            <w:tcW w:type="dxa" w:w="8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2011</w:t>
            </w:r>
          </w:p>
        </w:tc>
        <w:tc>
          <w:tcPr>
            <w:tcW w:type="dxa" w:w="12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Faculty of Medicine, University of Belgrade</w:t>
            </w:r>
          </w:p>
        </w:tc>
        <w:tc>
          <w:tcPr>
            <w:tcW w:type="dxa" w:w="1323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Physical Medicine and Rehabilitation</w:t>
            </w:r>
          </w:p>
        </w:tc>
        <w:tc>
          <w:tcPr>
            <w:tcW w:type="dxa" w:w="15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882" w:hRule="atLeast"/>
        </w:trPr>
        <w:tc>
          <w:tcPr>
            <w:tcW w:type="dxa" w:w="1919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sz w:val="18"/>
                <w:szCs w:val="18"/>
                <w:rtl w:val="0"/>
                <w:lang w:val="en-US"/>
              </w:rPr>
              <w:t>Specialization</w:t>
            </w:r>
          </w:p>
        </w:tc>
        <w:tc>
          <w:tcPr>
            <w:tcW w:type="dxa" w:w="8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2004</w:t>
            </w:r>
          </w:p>
        </w:tc>
        <w:tc>
          <w:tcPr>
            <w:tcW w:type="dxa" w:w="12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Faculty of Medicine, University of Belgrade</w:t>
            </w:r>
          </w:p>
        </w:tc>
        <w:tc>
          <w:tcPr>
            <w:tcW w:type="dxa" w:w="1323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Physical Medicine and Rehabilitation</w:t>
            </w:r>
          </w:p>
        </w:tc>
        <w:tc>
          <w:tcPr>
            <w:tcW w:type="dxa" w:w="15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1919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sz w:val="18"/>
                <w:szCs w:val="18"/>
                <w:rtl w:val="0"/>
                <w:lang w:val="en-US"/>
              </w:rPr>
              <w:t>Master</w:t>
            </w:r>
            <w:r>
              <w:rPr>
                <w:sz w:val="18"/>
                <w:szCs w:val="18"/>
                <w:rtl w:val="0"/>
                <w:lang w:val="en-US"/>
              </w:rPr>
              <w:t>’</w:t>
            </w:r>
            <w:r>
              <w:rPr>
                <w:sz w:val="18"/>
                <w:szCs w:val="18"/>
                <w:rtl w:val="0"/>
                <w:lang w:val="en-US"/>
              </w:rPr>
              <w:t>s degree</w:t>
            </w:r>
          </w:p>
        </w:tc>
        <w:tc>
          <w:tcPr>
            <w:tcW w:type="dxa" w:w="8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2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323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5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882" w:hRule="atLeast"/>
        </w:trPr>
        <w:tc>
          <w:tcPr>
            <w:tcW w:type="dxa" w:w="1919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sz w:val="18"/>
                <w:szCs w:val="18"/>
                <w:rtl w:val="0"/>
                <w:lang w:val="en-US"/>
              </w:rPr>
              <w:t>Diploma</w:t>
            </w:r>
          </w:p>
        </w:tc>
        <w:tc>
          <w:tcPr>
            <w:tcW w:type="dxa" w:w="8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1999</w:t>
            </w:r>
          </w:p>
        </w:tc>
        <w:tc>
          <w:tcPr>
            <w:tcW w:type="dxa" w:w="12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Faculty of Medicine, University of Belgrade</w:t>
            </w:r>
          </w:p>
        </w:tc>
        <w:tc>
          <w:tcPr>
            <w:tcW w:type="dxa" w:w="1323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Physical Medicine and Rehabilitation</w:t>
            </w:r>
          </w:p>
        </w:tc>
        <w:tc>
          <w:tcPr>
            <w:tcW w:type="dxa" w:w="15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6881"/>
            <w:gridSpan w:val="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b w:val="1"/>
                <w:bCs w:val="1"/>
                <w:rtl w:val="0"/>
                <w:lang w:val="en-US"/>
              </w:rPr>
              <w:t>Teacher</w:t>
            </w:r>
            <w:r>
              <w:rPr>
                <w:b w:val="1"/>
                <w:bCs w:val="1"/>
                <w:rtl w:val="0"/>
                <w:lang w:val="en-US"/>
              </w:rPr>
              <w:t>’</w:t>
            </w:r>
            <w:r>
              <w:rPr>
                <w:b w:val="1"/>
                <w:bCs w:val="1"/>
                <w:rtl w:val="0"/>
                <w:lang w:val="en-US"/>
              </w:rPr>
              <w:t>s list of courses at PhD studies</w:t>
            </w:r>
            <w:r>
              <w:rPr>
                <w:b w:val="1"/>
                <w:bCs w:val="1"/>
                <w:rtl w:val="0"/>
              </w:rPr>
              <w:t xml:space="preserve"> </w:t>
            </w:r>
          </w:p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b w:val="1"/>
                <w:bCs w:val="1"/>
                <w:rtl w:val="0"/>
                <w:lang w:val="en-US"/>
              </w:rPr>
              <w:t>No</w:t>
            </w:r>
            <w:r>
              <w:rPr>
                <w:b w:val="1"/>
                <w:bCs w:val="1"/>
                <w:rtl w:val="0"/>
              </w:rPr>
              <w:t>.</w:t>
            </w:r>
          </w:p>
        </w:tc>
        <w:tc>
          <w:tcPr>
            <w:tcW w:type="dxa" w:w="91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b w:val="1"/>
                <w:bCs w:val="1"/>
                <w:rtl w:val="0"/>
                <w:lang w:val="en-US"/>
              </w:rPr>
              <w:t>Ref.</w:t>
            </w:r>
            <w:r>
              <w:rPr>
                <w:b w:val="1"/>
                <w:bCs w:val="1"/>
                <w:rtl w:val="0"/>
              </w:rPr>
              <w:t xml:space="preserve"> </w:t>
            </w:r>
          </w:p>
        </w:tc>
        <w:tc>
          <w:tcPr>
            <w:tcW w:type="dxa" w:w="5461"/>
            <w:gridSpan w:val="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b w:val="1"/>
                <w:bCs w:val="1"/>
                <w:rtl w:val="0"/>
                <w:lang w:val="en-US"/>
              </w:rPr>
              <w:t>Course Title</w:t>
            </w:r>
          </w:p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1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461"/>
            <w:gridSpan w:val="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1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461"/>
            <w:gridSpan w:val="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1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461"/>
            <w:gridSpan w:val="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1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461"/>
            <w:gridSpan w:val="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442" w:hRule="atLeast"/>
        </w:trPr>
        <w:tc>
          <w:tcPr>
            <w:tcW w:type="dxa" w:w="6881"/>
            <w:gridSpan w:val="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b w:val="0"/>
                <w:bCs w:val="0"/>
                <w:rtl w:val="0"/>
              </w:rPr>
              <w:t xml:space="preserve">The most significant </w:t>
            </w:r>
            <w:r>
              <w:rPr>
                <w:b w:val="0"/>
                <w:bCs w:val="0"/>
                <w:rtl w:val="0"/>
                <w:lang w:val="en-US"/>
              </w:rPr>
              <w:t>papers</w:t>
            </w:r>
            <w:r>
              <w:rPr>
                <w:b w:val="0"/>
                <w:bCs w:val="0"/>
                <w:rtl w:val="0"/>
              </w:rPr>
              <w:t xml:space="preserve"> in accordance with the requirements of the additional conditions of the standard for a given field (minimum 10 not more than 20)</w:t>
            </w:r>
          </w:p>
        </w:tc>
      </w:tr>
      <w:tr>
        <w:tblPrEx>
          <w:shd w:val="clear" w:color="auto" w:fill="ced7e7"/>
        </w:tblPrEx>
        <w:trPr>
          <w:trHeight w:val="1542" w:hRule="atLeast"/>
        </w:trPr>
        <w:tc>
          <w:tcPr>
            <w:tcW w:type="dxa" w:w="66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712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Heading 1"/>
              <w:widowControl w:val="1"/>
              <w:bidi w:val="0"/>
              <w:spacing w:before="100" w:after="100"/>
              <w:ind w:left="0" w:right="0" w:firstLine="0"/>
              <w:jc w:val="both"/>
              <w:rPr>
                <w:rtl w:val="0"/>
              </w:rPr>
            </w:pPr>
            <w:r>
              <w:rPr>
                <w:rFonts w:ascii="Times New Roman" w:hAnsi="Times New Roman"/>
                <w:rtl w:val="0"/>
              </w:rPr>
              <w:t>Kadija M, Milovanovi</w:t>
            </w:r>
            <w:r>
              <w:rPr>
                <w:rFonts w:ascii="Times New Roman" w:hAnsi="Times New Roman" w:hint="default"/>
                <w:rtl w:val="0"/>
              </w:rPr>
              <w:t xml:space="preserve">ć </w:t>
            </w:r>
            <w:r>
              <w:rPr>
                <w:rFonts w:ascii="Times New Roman" w:hAnsi="Times New Roman"/>
                <w:rtl w:val="0"/>
                <w:lang w:val="nl-NL"/>
              </w:rPr>
              <w:t>D, Bumba</w:t>
            </w:r>
            <w:r>
              <w:rPr>
                <w:rFonts w:ascii="Times New Roman" w:hAnsi="Times New Roman" w:hint="default"/>
                <w:rtl w:val="0"/>
              </w:rPr>
              <w:t>š</w:t>
            </w:r>
            <w:r>
              <w:rPr>
                <w:rFonts w:ascii="Times New Roman" w:hAnsi="Times New Roman"/>
                <w:rtl w:val="0"/>
                <w:lang w:val="en-US"/>
              </w:rPr>
              <w:t>irevi</w:t>
            </w:r>
            <w:r>
              <w:rPr>
                <w:rFonts w:ascii="Times New Roman" w:hAnsi="Times New Roman" w:hint="default"/>
                <w:rtl w:val="0"/>
              </w:rPr>
              <w:t xml:space="preserve">ć </w:t>
            </w:r>
            <w:r>
              <w:rPr>
                <w:rFonts w:ascii="Times New Roman" w:hAnsi="Times New Roman"/>
                <w:rtl w:val="0"/>
                <w:lang w:val="es-ES_tradnl"/>
              </w:rPr>
              <w:t>M, Carevi</w:t>
            </w:r>
            <w:r>
              <w:rPr>
                <w:rFonts w:ascii="Times New Roman" w:hAnsi="Times New Roman" w:hint="default"/>
                <w:rtl w:val="0"/>
              </w:rPr>
              <w:t xml:space="preserve">ć </w:t>
            </w:r>
            <w:r>
              <w:rPr>
                <w:rFonts w:ascii="Times New Roman" w:hAnsi="Times New Roman"/>
                <w:rtl w:val="0"/>
              </w:rPr>
              <w:t xml:space="preserve">Z, </w:t>
            </w:r>
            <w:r>
              <w:rPr>
                <w:rFonts w:ascii="Times New Roman" w:hAnsi="Times New Roman"/>
                <w:u w:val="single"/>
                <w:rtl w:val="0"/>
              </w:rPr>
              <w:t>Dubljanin-Raspopovi</w:t>
            </w:r>
            <w:r>
              <w:rPr>
                <w:rFonts w:ascii="Times New Roman" w:hAnsi="Times New Roman" w:hint="default"/>
                <w:u w:val="single"/>
                <w:rtl w:val="0"/>
              </w:rPr>
              <w:t xml:space="preserve">ć </w:t>
            </w:r>
            <w:r>
              <w:rPr>
                <w:rFonts w:ascii="Times New Roman" w:hAnsi="Times New Roman"/>
                <w:u w:val="single"/>
                <w:rtl w:val="0"/>
              </w:rPr>
              <w:t>E</w:t>
            </w:r>
            <w:r>
              <w:rPr>
                <w:rFonts w:ascii="Times New Roman" w:hAnsi="Times New Roman"/>
                <w:rtl w:val="0"/>
              </w:rPr>
              <w:t xml:space="preserve">, Stijak L. </w:t>
            </w:r>
            <w:r>
              <w:rPr>
                <w:rStyle w:val="Hyperlink.0"/>
                <w:rFonts w:ascii="Times New Roman" w:cs="Times New Roman" w:hAnsi="Times New Roman" w:eastAsia="Times New Roman"/>
              </w:rPr>
              <w:fldChar w:fldCharType="begin" w:fldLock="0"/>
            </w:r>
            <w:r>
              <w:rPr>
                <w:rStyle w:val="Hyperlink.0"/>
                <w:rFonts w:ascii="Times New Roman" w:cs="Times New Roman" w:hAnsi="Times New Roman" w:eastAsia="Times New Roman"/>
              </w:rPr>
              <w:instrText xml:space="preserve"> HYPERLINK "http://www.ncbi.nlm.nih.gov/pubmed/26072031"</w:instrText>
            </w:r>
            <w:r>
              <w:rPr>
                <w:rStyle w:val="Hyperlink.0"/>
                <w:rFonts w:ascii="Times New Roman" w:cs="Times New Roman" w:hAnsi="Times New Roman" w:eastAsia="Times New Roman"/>
              </w:rPr>
              <w:fldChar w:fldCharType="separate" w:fldLock="0"/>
            </w:r>
            <w:r>
              <w:rPr>
                <w:rStyle w:val="Hyperlink.0"/>
                <w:rFonts w:ascii="Times New Roman" w:hAnsi="Times New Roman"/>
                <w:rtl w:val="0"/>
                <w:lang w:val="en-US"/>
              </w:rPr>
              <w:t>Length of the femoral tunnel in anatomic ACL reconstruction: comparison of three techniques.</w:t>
            </w:r>
            <w:r>
              <w:rPr>
                <w:rFonts w:ascii="Times New Roman" w:cs="Times New Roman" w:hAnsi="Times New Roman" w:eastAsia="Times New Roman"/>
              </w:rPr>
              <w:fldChar w:fldCharType="end" w:fldLock="0"/>
            </w:r>
            <w:r>
              <w:rPr>
                <w:rFonts w:ascii="Times New Roman" w:hAnsi="Times New Roman"/>
                <w:b w:val="1"/>
                <w:bCs w:val="1"/>
                <w:rtl w:val="0"/>
              </w:rPr>
              <w:t xml:space="preserve"> </w:t>
            </w:r>
            <w:r>
              <w:rPr>
                <w:rFonts w:ascii="Times New Roman" w:hAnsi="Times New Roman"/>
                <w:rtl w:val="0"/>
                <w:lang w:val="en-US"/>
              </w:rPr>
              <w:t>Knee Surg Sports Traumatol Arthrosc. 2017;25(5):1606-1612. M21, IF 3.083</w:t>
            </w:r>
          </w:p>
        </w:tc>
        <w:tc>
          <w:tcPr>
            <w:tcW w:type="dxa" w:w="2504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tl w:val="0"/>
              </w:rPr>
              <w:t>Р</w:t>
            </w:r>
          </w:p>
        </w:tc>
      </w:tr>
      <w:tr>
        <w:tblPrEx>
          <w:shd w:val="clear" w:color="auto" w:fill="ced7e7"/>
        </w:tblPrEx>
        <w:trPr>
          <w:trHeight w:val="1202" w:hRule="atLeast"/>
        </w:trPr>
        <w:tc>
          <w:tcPr>
            <w:tcW w:type="dxa" w:w="66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712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Heading 1"/>
              <w:widowControl w:val="1"/>
              <w:bidi w:val="0"/>
              <w:spacing w:before="100" w:after="100"/>
              <w:ind w:left="0" w:right="0" w:firstLine="0"/>
              <w:jc w:val="both"/>
              <w:rPr>
                <w:rtl w:val="0"/>
              </w:rPr>
            </w:pPr>
            <w:r>
              <w:rPr>
                <w:rFonts w:ascii="Times New Roman" w:hAnsi="Times New Roman"/>
                <w:sz w:val="18"/>
                <w:szCs w:val="18"/>
                <w:rtl w:val="0"/>
              </w:rPr>
              <w:t>Nedeljkovi</w:t>
            </w:r>
            <w:r>
              <w:rPr>
                <w:rFonts w:ascii="Times New Roman" w:hAnsi="Times New Roman" w:hint="default"/>
                <w:sz w:val="18"/>
                <w:szCs w:val="18"/>
                <w:rtl w:val="0"/>
              </w:rPr>
              <w:t xml:space="preserve">ć </w:t>
            </w:r>
            <w:r>
              <w:rPr>
                <w:rFonts w:ascii="Times New Roman" w:hAnsi="Times New Roman"/>
                <w:sz w:val="18"/>
                <w:szCs w:val="18"/>
                <w:rtl w:val="0"/>
              </w:rPr>
              <w:t xml:space="preserve">U, </w:t>
            </w:r>
            <w:r>
              <w:rPr>
                <w:rFonts w:ascii="Times New Roman" w:hAnsi="Times New Roman"/>
                <w:sz w:val="18"/>
                <w:szCs w:val="18"/>
                <w:u w:val="single"/>
                <w:rtl w:val="0"/>
              </w:rPr>
              <w:t>Dubljanin Raspopovi</w:t>
            </w:r>
            <w:r>
              <w:rPr>
                <w:rFonts w:ascii="Times New Roman" w:hAnsi="Times New Roman" w:hint="default"/>
                <w:sz w:val="18"/>
                <w:szCs w:val="18"/>
                <w:u w:val="single"/>
                <w:rtl w:val="0"/>
              </w:rPr>
              <w:t xml:space="preserve">ć </w:t>
            </w:r>
            <w:r>
              <w:rPr>
                <w:rFonts w:ascii="Times New Roman" w:hAnsi="Times New Roman"/>
                <w:sz w:val="18"/>
                <w:szCs w:val="18"/>
                <w:u w:val="single"/>
                <w:rtl w:val="0"/>
              </w:rPr>
              <w:t>E</w:t>
            </w:r>
            <w:r>
              <w:rPr>
                <w:rFonts w:ascii="Times New Roman" w:hAnsi="Times New Roman"/>
                <w:sz w:val="18"/>
                <w:szCs w:val="18"/>
                <w:rtl w:val="0"/>
              </w:rPr>
              <w:t>, Ili</w:t>
            </w:r>
            <w:r>
              <w:rPr>
                <w:rFonts w:ascii="Times New Roman" w:hAnsi="Times New Roman" w:hint="default"/>
                <w:sz w:val="18"/>
                <w:szCs w:val="18"/>
                <w:rtl w:val="0"/>
              </w:rPr>
              <w:t xml:space="preserve">ć </w:t>
            </w:r>
            <w:r>
              <w:rPr>
                <w:rFonts w:ascii="Times New Roman" w:hAnsi="Times New Roman"/>
                <w:sz w:val="18"/>
                <w:szCs w:val="18"/>
                <w:rtl w:val="0"/>
              </w:rPr>
              <w:t>N, Tomanovi</w:t>
            </w:r>
            <w:r>
              <w:rPr>
                <w:rFonts w:ascii="Times New Roman" w:hAnsi="Times New Roman" w:hint="default"/>
                <w:sz w:val="18"/>
                <w:szCs w:val="18"/>
                <w:rtl w:val="0"/>
              </w:rPr>
              <w:t xml:space="preserve">ć </w:t>
            </w:r>
            <w:r>
              <w:rPr>
                <w:rFonts w:ascii="Times New Roman" w:hAnsi="Times New Roman"/>
                <w:sz w:val="18"/>
                <w:szCs w:val="18"/>
                <w:rtl w:val="0"/>
              </w:rPr>
              <w:t>Vujadinovi</w:t>
            </w:r>
            <w:r>
              <w:rPr>
                <w:rFonts w:ascii="Times New Roman" w:hAnsi="Times New Roman" w:hint="default"/>
                <w:sz w:val="18"/>
                <w:szCs w:val="18"/>
                <w:rtl w:val="0"/>
              </w:rPr>
              <w:t xml:space="preserve">ć </w:t>
            </w:r>
            <w:r>
              <w:rPr>
                <w:rFonts w:ascii="Times New Roman" w:hAnsi="Times New Roman"/>
                <w:sz w:val="18"/>
                <w:szCs w:val="18"/>
                <w:rtl w:val="0"/>
                <w:lang w:val="it-IT"/>
              </w:rPr>
              <w:t>S, Soldatovi</w:t>
            </w:r>
            <w:r>
              <w:rPr>
                <w:rFonts w:ascii="Times New Roman" w:hAnsi="Times New Roman" w:hint="default"/>
                <w:sz w:val="18"/>
                <w:szCs w:val="18"/>
                <w:rtl w:val="0"/>
              </w:rPr>
              <w:t xml:space="preserve">ć </w:t>
            </w:r>
            <w:r>
              <w:rPr>
                <w:rFonts w:ascii="Times New Roman" w:hAnsi="Times New Roman"/>
                <w:sz w:val="18"/>
                <w:szCs w:val="18"/>
                <w:rtl w:val="0"/>
              </w:rPr>
              <w:t>I, Drulovi</w:t>
            </w:r>
            <w:r>
              <w:rPr>
                <w:rFonts w:ascii="Times New Roman" w:hAnsi="Times New Roman" w:hint="default"/>
                <w:sz w:val="18"/>
                <w:szCs w:val="18"/>
                <w:rtl w:val="0"/>
              </w:rPr>
              <w:t xml:space="preserve">ć </w:t>
            </w:r>
            <w:r>
              <w:rPr>
                <w:rFonts w:ascii="Times New Roman" w:hAnsi="Times New Roman"/>
                <w:sz w:val="18"/>
                <w:szCs w:val="18"/>
                <w:rtl w:val="0"/>
                <w:lang w:val="en-US"/>
              </w:rPr>
              <w:t>J. Effectivness of rehabilitation in multiple sclerosis relapse on fatigue, self-efficacy and physical activity. Acta Neurol Belg. 2016,116(3):309-15. M23, IF =1.066</w:t>
            </w:r>
          </w:p>
        </w:tc>
        <w:tc>
          <w:tcPr>
            <w:tcW w:type="dxa" w:w="2504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1202" w:hRule="atLeast"/>
        </w:trPr>
        <w:tc>
          <w:tcPr>
            <w:tcW w:type="dxa" w:w="66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712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Heading 1"/>
              <w:widowControl w:val="1"/>
              <w:bidi w:val="0"/>
              <w:spacing w:after="100"/>
              <w:ind w:left="0" w:right="0" w:firstLine="0"/>
              <w:jc w:val="both"/>
              <w:rPr>
                <w:rtl w:val="0"/>
              </w:rPr>
            </w:pPr>
            <w:r>
              <w:rPr>
                <w:rFonts w:ascii="Times New Roman" w:hAnsi="Times New Roman"/>
                <w:sz w:val="18"/>
                <w:szCs w:val="18"/>
                <w:rtl w:val="0"/>
              </w:rPr>
              <w:t xml:space="preserve">Marusic V, Denic-Markovic LJ, Djuric O, Protic D, </w:t>
            </w:r>
            <w:r>
              <w:rPr>
                <w:rFonts w:ascii="Times New Roman" w:hAnsi="Times New Roman"/>
                <w:sz w:val="18"/>
                <w:szCs w:val="18"/>
                <w:u w:val="single"/>
                <w:rtl w:val="0"/>
              </w:rPr>
              <w:t>Dubljanin Raspopovic E</w:t>
            </w:r>
            <w:r>
              <w:rPr>
                <w:rFonts w:ascii="Times New Roman" w:hAnsi="Times New Roman"/>
                <w:sz w:val="18"/>
                <w:szCs w:val="18"/>
                <w:rtl w:val="0"/>
                <w:lang w:val="en-US"/>
              </w:rPr>
              <w:t xml:space="preserve">. Knowledge about blood-borne pathogens and the prevalence of needle stick injuries among medical students in Serbia. Zdr Varst 2017, 56(3):179-184.M23, IF=0.203      </w:t>
            </w:r>
          </w:p>
        </w:tc>
        <w:tc>
          <w:tcPr>
            <w:tcW w:type="dxa" w:w="2504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1500" w:hRule="atLeast"/>
        </w:trPr>
        <w:tc>
          <w:tcPr>
            <w:tcW w:type="dxa" w:w="66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712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</w:pPr>
            <w:r>
              <w:rPr>
                <w:sz w:val="18"/>
                <w:szCs w:val="18"/>
                <w:rtl w:val="0"/>
              </w:rPr>
              <w:t>Ili</w:t>
            </w:r>
            <w:r>
              <w:rPr>
                <w:sz w:val="18"/>
                <w:szCs w:val="18"/>
                <w:rtl w:val="0"/>
              </w:rPr>
              <w:t xml:space="preserve">ć </w:t>
            </w:r>
            <w:r>
              <w:rPr>
                <w:sz w:val="18"/>
                <w:szCs w:val="18"/>
                <w:rtl w:val="0"/>
                <w:lang w:val="nl-NL"/>
              </w:rPr>
              <w:t xml:space="preserve">NV, </w:t>
            </w:r>
            <w:r>
              <w:rPr>
                <w:sz w:val="18"/>
                <w:szCs w:val="18"/>
                <w:u w:val="single"/>
                <w:rtl w:val="0"/>
              </w:rPr>
              <w:t>Dubljanin-Raspopovi</w:t>
            </w:r>
            <w:r>
              <w:rPr>
                <w:sz w:val="18"/>
                <w:szCs w:val="18"/>
                <w:u w:val="single"/>
                <w:rtl w:val="0"/>
              </w:rPr>
              <w:t xml:space="preserve">ć </w:t>
            </w:r>
            <w:r>
              <w:rPr>
                <w:sz w:val="18"/>
                <w:szCs w:val="18"/>
                <w:u w:val="single"/>
                <w:rtl w:val="0"/>
              </w:rPr>
              <w:t>E</w:t>
            </w:r>
            <w:r>
              <w:rPr>
                <w:sz w:val="18"/>
                <w:szCs w:val="18"/>
                <w:rtl w:val="0"/>
              </w:rPr>
              <w:t>, Nedeljkovi</w:t>
            </w:r>
            <w:r>
              <w:rPr>
                <w:sz w:val="18"/>
                <w:szCs w:val="18"/>
                <w:rtl w:val="0"/>
              </w:rPr>
              <w:t xml:space="preserve">ć </w:t>
            </w:r>
            <w:r>
              <w:rPr>
                <w:sz w:val="18"/>
                <w:szCs w:val="18"/>
                <w:rtl w:val="0"/>
              </w:rPr>
              <w:t>U, Tomanovi</w:t>
            </w:r>
            <w:r>
              <w:rPr>
                <w:sz w:val="18"/>
                <w:szCs w:val="18"/>
                <w:rtl w:val="0"/>
              </w:rPr>
              <w:t>ć</w:t>
            </w:r>
            <w:r>
              <w:rPr>
                <w:sz w:val="18"/>
                <w:szCs w:val="18"/>
                <w:rtl w:val="0"/>
              </w:rPr>
              <w:t>-Vujadinovi</w:t>
            </w:r>
            <w:r>
              <w:rPr>
                <w:sz w:val="18"/>
                <w:szCs w:val="18"/>
                <w:rtl w:val="0"/>
              </w:rPr>
              <w:t xml:space="preserve">ć </w:t>
            </w:r>
            <w:r>
              <w:rPr>
                <w:sz w:val="18"/>
                <w:szCs w:val="18"/>
                <w:rtl w:val="0"/>
              </w:rPr>
              <w:t>S, Milanovi</w:t>
            </w:r>
            <w:r>
              <w:rPr>
                <w:sz w:val="18"/>
                <w:szCs w:val="18"/>
                <w:rtl w:val="0"/>
              </w:rPr>
              <w:t xml:space="preserve">ć </w:t>
            </w:r>
            <w:r>
              <w:rPr>
                <w:sz w:val="18"/>
                <w:szCs w:val="18"/>
                <w:rtl w:val="0"/>
                <w:lang w:val="pt-PT"/>
              </w:rPr>
              <w:t>SD, Petroni</w:t>
            </w:r>
            <w:r>
              <w:rPr>
                <w:sz w:val="18"/>
                <w:szCs w:val="18"/>
                <w:rtl w:val="0"/>
              </w:rPr>
              <w:t>ć</w:t>
            </w:r>
            <w:r>
              <w:rPr>
                <w:sz w:val="18"/>
                <w:szCs w:val="18"/>
                <w:rtl w:val="0"/>
              </w:rPr>
              <w:t>-Markovi</w:t>
            </w:r>
            <w:r>
              <w:rPr>
                <w:sz w:val="18"/>
                <w:szCs w:val="18"/>
                <w:rtl w:val="0"/>
              </w:rPr>
              <w:t xml:space="preserve">ć </w:t>
            </w:r>
            <w:r>
              <w:rPr>
                <w:sz w:val="18"/>
                <w:szCs w:val="18"/>
                <w:rtl w:val="0"/>
              </w:rPr>
              <w:t>I, Ili</w:t>
            </w:r>
            <w:r>
              <w:rPr>
                <w:sz w:val="18"/>
                <w:szCs w:val="18"/>
                <w:rtl w:val="0"/>
              </w:rPr>
              <w:t xml:space="preserve">ć </w:t>
            </w:r>
            <w:r>
              <w:rPr>
                <w:sz w:val="18"/>
                <w:szCs w:val="18"/>
                <w:rtl w:val="0"/>
                <w:lang w:val="da-DK"/>
              </w:rPr>
              <w:t xml:space="preserve">TV. </w:t>
            </w:r>
            <w:r>
              <w:rPr>
                <w:rStyle w:val="Hyperlink.1"/>
                <w:sz w:val="18"/>
                <w:szCs w:val="18"/>
              </w:rPr>
              <w:fldChar w:fldCharType="begin" w:fldLock="0"/>
            </w:r>
            <w:r>
              <w:rPr>
                <w:rStyle w:val="Hyperlink.1"/>
                <w:sz w:val="18"/>
                <w:szCs w:val="18"/>
              </w:rPr>
              <w:instrText xml:space="preserve"> HYPERLINK "https://www.ncbi.nlm.nih.gov/pubmed/27689551"</w:instrText>
            </w:r>
            <w:r>
              <w:rPr>
                <w:rStyle w:val="Hyperlink.1"/>
                <w:sz w:val="18"/>
                <w:szCs w:val="18"/>
              </w:rPr>
              <w:fldChar w:fldCharType="separate" w:fldLock="0"/>
            </w:r>
            <w:r>
              <w:rPr>
                <w:rStyle w:val="Hyperlink.1"/>
                <w:sz w:val="18"/>
                <w:szCs w:val="18"/>
                <w:rtl w:val="0"/>
                <w:lang w:val="en-US"/>
              </w:rPr>
              <w:t>Effects of anodal tDCS and occupational therapy on fine motor skill deficits in patients with chronic stroke.</w:t>
            </w:r>
            <w:r>
              <w:rPr>
                <w:sz w:val="24"/>
                <w:szCs w:val="24"/>
              </w:rPr>
              <w:fldChar w:fldCharType="end" w:fldLock="0"/>
            </w:r>
            <w:r>
              <w:rPr>
                <w:rStyle w:val="Hyperlink.1"/>
                <w:sz w:val="18"/>
                <w:szCs w:val="18"/>
                <w:rtl w:val="0"/>
              </w:rPr>
              <w:t xml:space="preserve"> Restor Neurol Neurosci. 2016 Nov 22;34(6):935-945. M22, IF=2.526  </w:t>
            </w:r>
            <w:r>
              <w:rPr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W w:type="dxa" w:w="2504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1402" w:hRule="atLeast"/>
        </w:trPr>
        <w:tc>
          <w:tcPr>
            <w:tcW w:type="dxa" w:w="66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712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</w:pPr>
            <w:r>
              <w:rPr>
                <w:sz w:val="18"/>
                <w:szCs w:val="18"/>
                <w:rtl w:val="0"/>
              </w:rPr>
              <w:t xml:space="preserve">Tulic G, </w:t>
            </w:r>
            <w:r>
              <w:rPr>
                <w:rStyle w:val="Ohne"/>
                <w:sz w:val="18"/>
                <w:szCs w:val="18"/>
                <w:u w:val="single"/>
                <w:rtl w:val="0"/>
              </w:rPr>
              <w:t>Dubljanin-Raspopovic E,</w:t>
            </w:r>
            <w:r>
              <w:rPr>
                <w:sz w:val="18"/>
                <w:szCs w:val="18"/>
                <w:rtl w:val="0"/>
              </w:rPr>
              <w:t xml:space="preserve"> Tomanovic-Vujadinovic S, Sopta J, Todorovic A,     Manojlovic R. </w:t>
            </w:r>
            <w:r>
              <w:rPr>
                <w:sz w:val="18"/>
                <w:szCs w:val="18"/>
              </w:rPr>
              <w:fldChar w:fldCharType="begin" w:fldLock="0"/>
            </w:r>
            <w:r>
              <w:rPr>
                <w:sz w:val="18"/>
                <w:szCs w:val="18"/>
              </w:rPr>
              <w:instrText xml:space="preserve"> HYPERLINK "https://www.ncbi.nlm.nih.gov/pubmed/28956102"</w:instrText>
            </w:r>
            <w:r>
              <w:rPr>
                <w:sz w:val="18"/>
                <w:szCs w:val="18"/>
              </w:rPr>
              <w:fldChar w:fldCharType="separate" w:fldLock="0"/>
            </w:r>
            <w:r>
              <w:rPr>
                <w:sz w:val="18"/>
                <w:szCs w:val="18"/>
                <w:rtl w:val="0"/>
                <w:lang w:val="en-US"/>
              </w:rPr>
              <w:t>Prolonged pre-operative hospital stay as a predictive factor for early outcomes and mortality after geriatric hip fracture surgery: a single institution open prospective cohort study.</w:t>
            </w:r>
            <w:r>
              <w:rPr>
                <w:sz w:val="18"/>
                <w:szCs w:val="18"/>
              </w:rPr>
              <w:fldChar w:fldCharType="end" w:fldLock="0"/>
            </w:r>
            <w:r>
              <w:rPr>
                <w:sz w:val="18"/>
                <w:szCs w:val="18"/>
                <w:rtl w:val="0"/>
                <w:lang w:val="en-US"/>
              </w:rPr>
              <w:t xml:space="preserve"> Int Orthop. 2017 Sep 201</w:t>
            </w:r>
            <w:r>
              <w:rPr>
                <w:sz w:val="18"/>
                <w:szCs w:val="18"/>
                <w:rtl w:val="0"/>
              </w:rPr>
              <w:t>8</w:t>
            </w:r>
            <w:r>
              <w:rPr>
                <w:sz w:val="18"/>
                <w:szCs w:val="18"/>
                <w:rtl w:val="0"/>
                <w:lang w:val="en-US"/>
              </w:rPr>
              <w:t>;42(1):25-31.</w:t>
            </w:r>
          </w:p>
        </w:tc>
        <w:tc>
          <w:tcPr>
            <w:tcW w:type="dxa" w:w="2504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1800" w:hRule="atLeast"/>
        </w:trPr>
        <w:tc>
          <w:tcPr>
            <w:tcW w:type="dxa" w:w="66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712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rPr>
                <w:sz w:val="18"/>
                <w:szCs w:val="18"/>
              </w:rPr>
            </w:pPr>
            <w:r>
              <w:rPr>
                <w:sz w:val="18"/>
                <w:szCs w:val="18"/>
                <w:rtl w:val="0"/>
              </w:rPr>
              <w:t xml:space="preserve">Selakovic I, </w:t>
            </w:r>
            <w:r>
              <w:rPr>
                <w:rStyle w:val="Ohne"/>
                <w:sz w:val="18"/>
                <w:szCs w:val="18"/>
                <w:u w:val="single"/>
                <w:rtl w:val="0"/>
              </w:rPr>
              <w:t>Dubljanin-Raspopovic E,</w:t>
            </w:r>
            <w:r>
              <w:rPr>
                <w:sz w:val="18"/>
                <w:szCs w:val="18"/>
                <w:rtl w:val="0"/>
              </w:rPr>
              <w:t xml:space="preserve"> Markovic-Denic L, Marusic V, Cirkovic A, Kadija M, Tomanovic-Vujadinovic S, Tulic G. </w:t>
            </w:r>
            <w:r>
              <w:rPr>
                <w:sz w:val="18"/>
                <w:szCs w:val="18"/>
                <w:rtl w:val="0"/>
                <w:lang w:val="en-US"/>
              </w:rPr>
              <w:t xml:space="preserve">Can early assessment of hand grip strength in older </w:t>
            </w:r>
            <w:r>
              <w:rPr>
                <w:sz w:val="18"/>
                <w:szCs w:val="18"/>
                <w:rtl w:val="0"/>
              </w:rPr>
              <w:t xml:space="preserve"> </w:t>
            </w:r>
            <w:r>
              <w:rPr>
                <w:sz w:val="18"/>
                <w:szCs w:val="18"/>
                <w:rtl w:val="0"/>
                <w:lang w:val="en-US"/>
              </w:rPr>
              <w:t>hip fracture patients predict functional outcome? PLoS One. 2019 Aug 1;14(8):e0213223.</w:t>
            </w:r>
          </w:p>
          <w:p>
            <w:pPr>
              <w:pStyle w:val="Normal.0"/>
              <w:widowControl w:val="1"/>
              <w:rPr>
                <w:sz w:val="24"/>
                <w:szCs w:val="24"/>
              </w:rPr>
            </w:pPr>
          </w:p>
          <w:p>
            <w:pPr>
              <w:pStyle w:val="Normal.0"/>
              <w:widowControl w:val="1"/>
            </w:pPr>
            <w:r>
              <w:rPr>
                <w:sz w:val="24"/>
                <w:szCs w:val="24"/>
                <w:rtl w:val="0"/>
              </w:rPr>
              <w:t xml:space="preserve">     </w:t>
            </w:r>
          </w:p>
        </w:tc>
        <w:tc>
          <w:tcPr>
            <w:tcW w:type="dxa" w:w="2504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1402" w:hRule="atLeast"/>
        </w:trPr>
        <w:tc>
          <w:tcPr>
            <w:tcW w:type="dxa" w:w="66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712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rPr>
                <w:sz w:val="18"/>
                <w:szCs w:val="18"/>
              </w:rPr>
            </w:pPr>
            <w:r>
              <w:rPr>
                <w:sz w:val="18"/>
                <w:szCs w:val="18"/>
                <w:rtl w:val="0"/>
              </w:rPr>
              <w:t xml:space="preserve">Marusic V, Markovic-Denic L, Djuric O, Cirkovic A, Nikolic V, </w:t>
            </w:r>
            <w:r>
              <w:rPr>
                <w:rStyle w:val="Ohne"/>
                <w:sz w:val="18"/>
                <w:szCs w:val="18"/>
                <w:u w:val="single"/>
                <w:rtl w:val="0"/>
              </w:rPr>
              <w:t>Dubljanin-Raspopovic E</w:t>
            </w:r>
            <w:r>
              <w:rPr>
                <w:sz w:val="18"/>
                <w:szCs w:val="18"/>
                <w:rtl w:val="0"/>
              </w:rPr>
              <w:t>,</w:t>
            </w:r>
          </w:p>
          <w:p>
            <w:pPr>
              <w:pStyle w:val="Normal.0"/>
              <w:widowControl w:val="1"/>
            </w:pPr>
            <w:r>
              <w:rPr>
                <w:sz w:val="18"/>
                <w:szCs w:val="18"/>
                <w:rtl w:val="0"/>
              </w:rPr>
              <w:t xml:space="preserve">Kadija M. </w:t>
            </w:r>
            <w:r>
              <w:rPr>
                <w:rStyle w:val="Hyperlink.2"/>
                <w:sz w:val="18"/>
                <w:szCs w:val="18"/>
              </w:rPr>
              <w:fldChar w:fldCharType="begin" w:fldLock="0"/>
            </w:r>
            <w:r>
              <w:rPr>
                <w:rStyle w:val="Hyperlink.2"/>
                <w:sz w:val="18"/>
                <w:szCs w:val="18"/>
              </w:rPr>
              <w:instrText xml:space="preserve"> HYPERLINK "https://pubmed.ncbi.nlm.nih.gov/33498378/"</w:instrText>
            </w:r>
            <w:r>
              <w:rPr>
                <w:rStyle w:val="Hyperlink.2"/>
                <w:sz w:val="18"/>
                <w:szCs w:val="18"/>
              </w:rPr>
              <w:fldChar w:fldCharType="separate" w:fldLock="0"/>
            </w:r>
            <w:r>
              <w:rPr>
                <w:rStyle w:val="Hyperlink.2"/>
                <w:sz w:val="18"/>
                <w:szCs w:val="18"/>
                <w:rtl w:val="0"/>
              </w:rPr>
              <w:t>Incidence and Risk Factors of 30-Day Surgical Site Infection after Primary Total Joint Arthroplasty in a Middle-Income Country: A Single-Center Experience.</w:t>
            </w:r>
            <w:r>
              <w:rPr>
                <w:sz w:val="18"/>
                <w:szCs w:val="18"/>
              </w:rPr>
              <w:fldChar w:fldCharType="end" w:fldLock="0"/>
            </w:r>
            <w:r>
              <w:rPr>
                <w:sz w:val="18"/>
                <w:szCs w:val="18"/>
                <w:rtl w:val="0"/>
              </w:rPr>
              <w:t xml:space="preserve">Int J Environ Res </w:t>
            </w:r>
            <w:r>
              <w:rPr>
                <w:sz w:val="18"/>
                <w:szCs w:val="18"/>
                <w:rtl w:val="0"/>
                <w:lang w:val="en-US"/>
              </w:rPr>
              <w:t xml:space="preserve">  </w:t>
            </w:r>
            <w:r>
              <w:rPr>
                <w:sz w:val="18"/>
                <w:szCs w:val="18"/>
                <w:rtl w:val="0"/>
              </w:rPr>
              <w:t>Public Health. 2021 Jan 20;18(3):E863.</w:t>
            </w:r>
          </w:p>
        </w:tc>
        <w:tc>
          <w:tcPr>
            <w:tcW w:type="dxa" w:w="2504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1402" w:hRule="atLeast"/>
        </w:trPr>
        <w:tc>
          <w:tcPr>
            <w:tcW w:type="dxa" w:w="66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712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  <w:rPr>
                <w:sz w:val="18"/>
                <w:szCs w:val="18"/>
              </w:rPr>
            </w:pPr>
            <w:r>
              <w:rPr>
                <w:rStyle w:val="Ohne"/>
                <w:sz w:val="18"/>
                <w:szCs w:val="18"/>
                <w:u w:val="single"/>
                <w:rtl w:val="0"/>
              </w:rPr>
              <w:t>Dubljanin Raspopovi</w:t>
            </w:r>
            <w:r>
              <w:rPr>
                <w:rStyle w:val="Ohne"/>
                <w:sz w:val="18"/>
                <w:szCs w:val="18"/>
                <w:u w:val="single"/>
                <w:rtl w:val="0"/>
              </w:rPr>
              <w:t xml:space="preserve">ć </w:t>
            </w:r>
            <w:r>
              <w:rPr>
                <w:rStyle w:val="Ohne"/>
                <w:sz w:val="18"/>
                <w:szCs w:val="18"/>
                <w:u w:val="single"/>
                <w:rtl w:val="0"/>
              </w:rPr>
              <w:t>E</w:t>
            </w:r>
            <w:r>
              <w:rPr>
                <w:sz w:val="18"/>
                <w:szCs w:val="18"/>
                <w:rtl w:val="0"/>
              </w:rPr>
              <w:t>, Meissner W, Zaslansky R, Kadija M, Tomanovi</w:t>
            </w:r>
            <w:r>
              <w:rPr>
                <w:sz w:val="18"/>
                <w:szCs w:val="18"/>
                <w:rtl w:val="0"/>
              </w:rPr>
              <w:t xml:space="preserve">ć </w:t>
            </w:r>
            <w:r>
              <w:rPr>
                <w:sz w:val="18"/>
                <w:szCs w:val="18"/>
                <w:rtl w:val="0"/>
              </w:rPr>
              <w:t>Vujadinovi</w:t>
            </w:r>
            <w:r>
              <w:rPr>
                <w:sz w:val="18"/>
                <w:szCs w:val="18"/>
                <w:rtl w:val="0"/>
              </w:rPr>
              <w:t xml:space="preserve">ć </w:t>
            </w:r>
            <w:r>
              <w:rPr>
                <w:sz w:val="18"/>
                <w:szCs w:val="18"/>
                <w:rtl w:val="0"/>
              </w:rPr>
              <w:t>S,</w:t>
            </w:r>
          </w:p>
          <w:p>
            <w:pPr>
              <w:pStyle w:val="Normal.0"/>
              <w:widowControl w:val="1"/>
            </w:pPr>
            <w:r>
              <w:rPr>
                <w:sz w:val="18"/>
                <w:szCs w:val="18"/>
                <w:rtl w:val="0"/>
              </w:rPr>
              <w:t xml:space="preserve"> Tuli</w:t>
            </w:r>
            <w:r>
              <w:rPr>
                <w:sz w:val="18"/>
                <w:szCs w:val="18"/>
                <w:rtl w:val="0"/>
              </w:rPr>
              <w:t xml:space="preserve">ć </w:t>
            </w:r>
            <w:r>
              <w:rPr>
                <w:sz w:val="18"/>
                <w:szCs w:val="18"/>
                <w:rtl w:val="0"/>
              </w:rPr>
              <w:t xml:space="preserve">G. </w:t>
            </w:r>
            <w:r>
              <w:rPr>
                <w:sz w:val="18"/>
                <w:szCs w:val="18"/>
              </w:rPr>
              <w:fldChar w:fldCharType="begin" w:fldLock="0"/>
            </w:r>
            <w:r>
              <w:rPr>
                <w:sz w:val="18"/>
                <w:szCs w:val="18"/>
              </w:rPr>
              <w:instrText xml:space="preserve"> HYPERLINK "https://pubmed.ncbi.nlm.nih.gov/34320012/"</w:instrText>
            </w:r>
            <w:r>
              <w:rPr>
                <w:sz w:val="18"/>
                <w:szCs w:val="18"/>
              </w:rPr>
              <w:fldChar w:fldCharType="separate" w:fldLock="0"/>
            </w:r>
            <w:r>
              <w:rPr>
                <w:sz w:val="18"/>
                <w:szCs w:val="18"/>
                <w:rtl w:val="0"/>
              </w:rPr>
              <w:t>Associations between early postoperative pain outcome measures and late functional outcomes in patients after knee arthroplasty.</w:t>
            </w:r>
            <w:r>
              <w:rPr>
                <w:sz w:val="18"/>
                <w:szCs w:val="18"/>
              </w:rPr>
              <w:fldChar w:fldCharType="end" w:fldLock="0"/>
            </w:r>
            <w:r>
              <w:rPr>
                <w:rStyle w:val="Ohne"/>
                <w:color w:val="4c7f54"/>
                <w:sz w:val="18"/>
                <w:szCs w:val="18"/>
                <w:rtl w:val="0"/>
              </w:rPr>
              <w:t xml:space="preserve"> </w:t>
            </w:r>
            <w:r>
              <w:rPr>
                <w:sz w:val="18"/>
                <w:szCs w:val="18"/>
                <w:rtl w:val="0"/>
              </w:rPr>
              <w:t>PLoS One. 2021 Jul 28;16(7):e0253147.</w:t>
            </w:r>
          </w:p>
        </w:tc>
        <w:tc>
          <w:tcPr>
            <w:tcW w:type="dxa" w:w="2504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6881"/>
            <w:gridSpan w:val="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Style w:val="Ohne"/>
                <w:b w:val="1"/>
                <w:bCs w:val="1"/>
                <w:rtl w:val="0"/>
                <w:lang w:val="en-US"/>
              </w:rPr>
              <w:t>Cumulative data of teacher</w:t>
            </w:r>
            <w:r>
              <w:rPr>
                <w:rStyle w:val="Ohne"/>
                <w:b w:val="1"/>
                <w:bCs w:val="1"/>
                <w:rtl w:val="0"/>
                <w:lang w:val="en-US"/>
              </w:rPr>
              <w:t>’</w:t>
            </w:r>
            <w:r>
              <w:rPr>
                <w:rStyle w:val="Ohne"/>
                <w:b w:val="1"/>
                <w:bCs w:val="1"/>
                <w:rtl w:val="0"/>
                <w:lang w:val="en-US"/>
              </w:rPr>
              <w:t>s scientific activity</w:t>
            </w:r>
          </w:p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4217"/>
            <w:gridSpan w:val="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Style w:val="Ohne"/>
                <w:rtl w:val="0"/>
              </w:rPr>
              <w:t>Total number of citations, without autocitations</w:t>
            </w:r>
          </w:p>
        </w:tc>
        <w:tc>
          <w:tcPr>
            <w:tcW w:type="dxa" w:w="2664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316</w:t>
            </w:r>
          </w:p>
        </w:tc>
      </w:tr>
      <w:tr>
        <w:tblPrEx>
          <w:shd w:val="clear" w:color="auto" w:fill="ced7e7"/>
        </w:tblPrEx>
        <w:trPr>
          <w:trHeight w:val="442" w:hRule="atLeast"/>
        </w:trPr>
        <w:tc>
          <w:tcPr>
            <w:tcW w:type="dxa" w:w="4217"/>
            <w:gridSpan w:val="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Style w:val="Ohne"/>
                <w:rtl w:val="0"/>
              </w:rPr>
              <w:t>Total number of papers from the SCI (or SSCI) list</w:t>
            </w:r>
          </w:p>
        </w:tc>
        <w:tc>
          <w:tcPr>
            <w:tcW w:type="dxa" w:w="2664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26</w:t>
            </w:r>
          </w:p>
        </w:tc>
      </w:tr>
      <w:tr>
        <w:tblPrEx>
          <w:shd w:val="clear" w:color="auto" w:fill="ced7e7"/>
        </w:tblPrEx>
        <w:trPr>
          <w:trHeight w:val="442" w:hRule="atLeast"/>
        </w:trPr>
        <w:tc>
          <w:tcPr>
            <w:tcW w:type="dxa" w:w="4217"/>
            <w:gridSpan w:val="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60"/>
            </w:pPr>
            <w:r>
              <w:rPr>
                <w:rStyle w:val="Ohne"/>
                <w:b w:val="0"/>
                <w:bCs w:val="0"/>
                <w:rtl w:val="0"/>
              </w:rPr>
              <w:t>Current participation in projects</w:t>
            </w:r>
          </w:p>
        </w:tc>
        <w:tc>
          <w:tcPr>
            <w:tcW w:type="dxa" w:w="97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60"/>
            </w:pPr>
            <w:r>
              <w:rPr>
                <w:rStyle w:val="Ohne"/>
                <w:b w:val="0"/>
                <w:bCs w:val="0"/>
                <w:rtl w:val="0"/>
                <w:lang w:val="en-US"/>
              </w:rPr>
              <w:t>Domestic</w:t>
            </w:r>
            <w:r>
              <w:rPr>
                <w:rStyle w:val="Ohne"/>
                <w:b w:val="0"/>
                <w:bCs w:val="0"/>
                <w:rtl w:val="0"/>
                <w:lang w:val="en-US"/>
              </w:rPr>
              <w:t xml:space="preserve"> 1</w:t>
            </w:r>
          </w:p>
        </w:tc>
        <w:tc>
          <w:tcPr>
            <w:tcW w:type="dxa" w:w="168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60"/>
            </w:pPr>
            <w:r>
              <w:rPr>
                <w:rStyle w:val="Ohne"/>
                <w:b w:val="0"/>
                <w:bCs w:val="0"/>
                <w:rtl w:val="0"/>
                <w:lang w:val="en-US"/>
              </w:rPr>
              <w:t>International</w:t>
            </w:r>
          </w:p>
        </w:tc>
      </w:tr>
      <w:tr>
        <w:tblPrEx>
          <w:shd w:val="clear" w:color="auto" w:fill="ced7e7"/>
        </w:tblPrEx>
        <w:trPr>
          <w:trHeight w:val="2002" w:hRule="atLeast"/>
        </w:trPr>
        <w:tc>
          <w:tcPr>
            <w:tcW w:type="dxa" w:w="4217"/>
            <w:gridSpan w:val="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Style w:val="Ohne"/>
                <w:rtl w:val="0"/>
                <w:lang w:val="en-US"/>
              </w:rPr>
              <w:t>Trainings</w:t>
            </w:r>
          </w:p>
        </w:tc>
        <w:tc>
          <w:tcPr>
            <w:tcW w:type="dxa" w:w="2664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Heading 4"/>
              <w:widowControl w:val="1"/>
              <w:jc w:val="both"/>
              <w:outlineLvl w:val="9"/>
            </w:pPr>
            <w:r>
              <w:rPr>
                <w:rFonts w:ascii="Times New Roman" w:hAnsi="Times New Roman"/>
                <w:sz w:val="18"/>
                <w:szCs w:val="18"/>
                <w:rtl w:val="0"/>
              </w:rPr>
              <w:t xml:space="preserve">2019 </w:t>
            </w:r>
            <w:r>
              <w:rPr>
                <w:rStyle w:val="Ohne"/>
                <w:rFonts w:ascii="Times New Roman" w:hAnsi="Times New Roman"/>
                <w:sz w:val="18"/>
                <w:szCs w:val="18"/>
                <w:rtl w:val="0"/>
                <w:lang w:val="de-DE"/>
              </w:rPr>
              <w:t xml:space="preserve">Barca Science Week, Camp Not, Barcelona, </w:t>
            </w:r>
            <w:r>
              <w:rPr>
                <w:rStyle w:val="Ohne"/>
                <w:rFonts w:ascii="Times New Roman" w:hAnsi="Times New Roman" w:hint="default"/>
                <w:sz w:val="18"/>
                <w:szCs w:val="18"/>
                <w:rtl w:val="0"/>
                <w:lang w:val="de-DE"/>
              </w:rPr>
              <w:t>Š</w:t>
            </w:r>
            <w:r>
              <w:rPr>
                <w:rStyle w:val="Ohne"/>
                <w:rFonts w:ascii="Times New Roman" w:hAnsi="Times New Roman"/>
                <w:sz w:val="18"/>
                <w:szCs w:val="18"/>
                <w:rtl w:val="0"/>
                <w:lang w:val="de-DE"/>
              </w:rPr>
              <w:t>panija, 2017 Odeljenje za anesteziju i hirur</w:t>
            </w:r>
            <w:r>
              <w:rPr>
                <w:rStyle w:val="Ohne"/>
                <w:rFonts w:ascii="Times New Roman" w:hAnsi="Times New Roman" w:hint="default"/>
                <w:sz w:val="18"/>
                <w:szCs w:val="18"/>
                <w:rtl w:val="0"/>
                <w:lang w:val="de-DE"/>
              </w:rPr>
              <w:t>š</w:t>
            </w:r>
            <w:r>
              <w:rPr>
                <w:rStyle w:val="Ohne"/>
                <w:rFonts w:ascii="Times New Roman" w:hAnsi="Times New Roman"/>
                <w:sz w:val="18"/>
                <w:szCs w:val="18"/>
                <w:rtl w:val="0"/>
                <w:lang w:val="de-DE"/>
              </w:rPr>
              <w:t>ku intenzivnu medicinu, Campus Benjamin Franklin, Charite-Universitatsmedizin Berlin, Nema</w:t>
            </w:r>
            <w:r>
              <w:rPr>
                <w:rStyle w:val="Ohne"/>
                <w:rFonts w:ascii="Times New Roman" w:hAnsi="Times New Roman" w:hint="default"/>
                <w:sz w:val="18"/>
                <w:szCs w:val="18"/>
                <w:rtl w:val="0"/>
                <w:lang w:val="de-DE"/>
              </w:rPr>
              <w:t>č</w:t>
            </w:r>
            <w:r>
              <w:rPr>
                <w:rStyle w:val="Ohne"/>
                <w:rFonts w:ascii="Times New Roman" w:hAnsi="Times New Roman"/>
                <w:sz w:val="18"/>
                <w:szCs w:val="18"/>
                <w:rtl w:val="0"/>
                <w:lang w:val="de-DE"/>
              </w:rPr>
              <w:t xml:space="preserve">ka, 2011 </w:t>
            </w:r>
            <w:r>
              <w:rPr>
                <w:rStyle w:val="Ohne"/>
                <w:rFonts w:ascii="Times New Roman" w:hAnsi="Times New Roman"/>
                <w:sz w:val="18"/>
                <w:szCs w:val="18"/>
                <w:rtl w:val="0"/>
                <w:lang w:val="en-US"/>
              </w:rPr>
              <w:t xml:space="preserve"> EFIC Autumn Pain School, Klagenfurt, Austria, 2010  Montescano Pain School, Montescano, Italy</w:t>
            </w:r>
          </w:p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6881"/>
            <w:gridSpan w:val="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Style w:val="Ohne"/>
                <w:rtl w:val="0"/>
                <w:lang w:val="en-US"/>
              </w:rPr>
              <w:t>Other relevant data</w:t>
            </w:r>
          </w:p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6881"/>
            <w:gridSpan w:val="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Style w:val="Ohne"/>
                <w:rtl w:val="0"/>
              </w:rPr>
              <w:t xml:space="preserve">The maximum length must not exceed </w:t>
            </w:r>
            <w:r>
              <w:rPr>
                <w:rStyle w:val="Ohne"/>
                <w:rtl w:val="0"/>
                <w:lang w:val="en-US"/>
              </w:rPr>
              <w:t>1</w:t>
            </w:r>
            <w:r>
              <w:rPr>
                <w:rStyle w:val="Ohne"/>
                <w:rtl w:val="0"/>
              </w:rPr>
              <w:t xml:space="preserve"> A4 page</w:t>
            </w:r>
          </w:p>
        </w:tc>
      </w:tr>
    </w:tbl>
    <w:p>
      <w:pPr>
        <w:pStyle w:val="Normal.0"/>
        <w:jc w:val="center"/>
      </w:pPr>
      <w:r/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Kopf- und Fußzeilen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ormal.0"/>
      <w:spacing w:after="60"/>
      <w:jc w:val="center"/>
    </w:pPr>
    <w:r>
      <w:rPr>
        <w:b w:val="1"/>
        <w:bCs w:val="1"/>
        <w:sz w:val="22"/>
        <w:szCs w:val="22"/>
        <w:rtl w:val="0"/>
        <w:lang w:val="en-US"/>
      </w:rPr>
      <w:t>Table 9.6 Teacher</w:t>
    </w:r>
    <w:r>
      <w:rPr>
        <w:b w:val="1"/>
        <w:bCs w:val="1"/>
        <w:sz w:val="22"/>
        <w:szCs w:val="22"/>
        <w:rtl w:val="0"/>
        <w:lang w:val="en-US"/>
      </w:rPr>
      <w:t>’</w:t>
    </w:r>
    <w:r>
      <w:rPr>
        <w:b w:val="1"/>
        <w:bCs w:val="1"/>
        <w:sz w:val="22"/>
        <w:szCs w:val="22"/>
        <w:rtl w:val="0"/>
        <w:lang w:val="en-US"/>
      </w:rPr>
      <w:t>s Competence</w:t>
    </w:r>
    <w:r>
      <w:rPr>
        <w:sz w:val="22"/>
        <w:szCs w:val="22"/>
        <w:lang w:val="en-US"/>
      </w:rPr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Deutsch" w:val="‘“(〔[{〈《「『【⦅〘〖«〝︵︷︹︻︽︿﹁﹃﹇﹙﹛﹝｢"/>
  <w:noLineBreaksBefore w:lang="Deutsc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vertAlign w:val="baseline"/>
    </w:rPr>
  </w:style>
  <w:style w:type="paragraph" w:styleId="Kopf- und Fußzeilen">
    <w:name w:val="Kopf- und Fußzeilen"/>
    <w:next w:val="Kopf- und Fußzeilen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Heading 1">
    <w:name w:val="Heading 1"/>
    <w:next w:val="Heading 1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vertAlign w:val="baseline"/>
    </w:rPr>
  </w:style>
  <w:style w:type="character" w:styleId="Link">
    <w:name w:val="Link"/>
    <w:rPr>
      <w:color w:val="0000ff"/>
      <w:u w:val="single" w:color="0000ff"/>
    </w:rPr>
  </w:style>
  <w:style w:type="character" w:styleId="Hyperlink.0">
    <w:name w:val="Hyperlink.0"/>
    <w:basedOn w:val="Link"/>
    <w:next w:val="Hyperlink.0"/>
    <w:rPr>
      <w:color w:val="000000"/>
      <w:u w:val="none" w:color="000000"/>
    </w:rPr>
  </w:style>
  <w:style w:type="character" w:styleId="Ohne">
    <w:name w:val="Ohne"/>
  </w:style>
  <w:style w:type="character" w:styleId="Hyperlink.1">
    <w:name w:val="Hyperlink.1"/>
    <w:basedOn w:val="Ohne"/>
    <w:next w:val="Hyperlink.1"/>
    <w:rPr>
      <w:sz w:val="18"/>
      <w:szCs w:val="18"/>
    </w:rPr>
  </w:style>
  <w:style w:type="character" w:styleId="Hyperlink.2">
    <w:name w:val="Hyperlink.2"/>
    <w:basedOn w:val="Link"/>
    <w:next w:val="Hyperlink.2"/>
    <w:rPr>
      <w:color w:val="000000"/>
      <w:u w:val="none"/>
    </w:rPr>
  </w:style>
  <w:style w:type="paragraph" w:styleId="Heading 4">
    <w:name w:val="Heading 4"/>
    <w:next w:val="Heading 4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2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vertAlign w:val="baselin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